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0773" w:type="dxa"/>
        <w:jc w:val="left"/>
        <w:tblInd w:w="108" w:type="dxa"/>
        <w:tblBorders/>
        <w:tblCellMar>
          <w:top w:w="0" w:type="dxa"/>
          <w:left w:w="108" w:type="dxa"/>
          <w:bottom w:w="0" w:type="dxa"/>
          <w:right w:w="108" w:type="dxa"/>
        </w:tblCellMar>
      </w:tblPr>
      <w:tblGrid>
        <w:gridCol w:w="5005"/>
        <w:gridCol w:w="1091"/>
        <w:gridCol w:w="4677"/>
      </w:tblGrid>
      <w:tr>
        <w:trPr/>
        <w:tc>
          <w:tcPr>
            <w:tcW w:w="5005" w:type="dxa"/>
            <w:tcBorders/>
            <w:shd w:fill="auto" w:val="clear"/>
          </w:tcPr>
          <w:p>
            <w:pPr>
              <w:pStyle w:val="Normal"/>
              <w:snapToGrid w:val="false"/>
              <w:ind w:left="-96" w:right="7" w:hanging="0"/>
              <w:jc w:val="right"/>
              <w:rPr/>
            </w:pPr>
            <w:r>
              <w:rPr>
                <w:rFonts w:cs="Arial" w:ascii="Arial" w:hAnsi="Arial"/>
                <w:sz w:val="16"/>
                <w:szCs w:val="16"/>
                <w:lang w:val="ru-RU"/>
              </w:rPr>
              <w:t>Федеральное</w:t>
            </w:r>
            <w:r>
              <w:rPr>
                <w:rFonts w:eastAsia="Arial" w:cs="Arial" w:ascii="Arial" w:hAnsi="Arial"/>
                <w:sz w:val="16"/>
                <w:szCs w:val="16"/>
                <w:lang w:val="ru-RU"/>
              </w:rPr>
              <w:t xml:space="preserve"> </w:t>
            </w:r>
            <w:r>
              <w:rPr>
                <w:rFonts w:cs="Arial" w:ascii="Arial" w:hAnsi="Arial"/>
                <w:sz w:val="16"/>
                <w:szCs w:val="16"/>
                <w:lang w:val="ru-RU"/>
              </w:rPr>
              <w:t>государственное</w:t>
            </w:r>
            <w:r>
              <w:rPr>
                <w:rFonts w:eastAsia="Arial" w:cs="Arial" w:ascii="Arial" w:hAnsi="Arial"/>
                <w:sz w:val="16"/>
                <w:szCs w:val="16"/>
                <w:lang w:val="ru-RU"/>
              </w:rPr>
              <w:t xml:space="preserve"> </w:t>
            </w:r>
            <w:r>
              <w:rPr>
                <w:rFonts w:cs="Arial" w:ascii="Arial" w:hAnsi="Arial"/>
                <w:sz w:val="16"/>
                <w:szCs w:val="16"/>
                <w:lang w:val="ru-RU"/>
              </w:rPr>
              <w:t>бюджетное</w:t>
            </w:r>
            <w:r>
              <w:rPr>
                <w:rFonts w:eastAsia="Arial" w:cs="Arial" w:ascii="Arial" w:hAnsi="Arial"/>
                <w:sz w:val="16"/>
                <w:szCs w:val="16"/>
                <w:lang w:val="ru-RU"/>
              </w:rPr>
              <w:t xml:space="preserve"> </w:t>
            </w:r>
            <w:r>
              <w:rPr>
                <w:rFonts w:cs="Arial" w:ascii="Arial" w:hAnsi="Arial"/>
                <w:sz w:val="16"/>
                <w:szCs w:val="16"/>
                <w:lang w:val="ru-RU"/>
              </w:rPr>
              <w:t>учреждение</w:t>
            </w:r>
            <w:r>
              <w:rPr>
                <w:rFonts w:eastAsia="Arial" w:cs="Arial" w:ascii="Arial" w:hAnsi="Arial"/>
                <w:sz w:val="18"/>
                <w:szCs w:val="18"/>
                <w:lang w:val="ru-RU"/>
              </w:rPr>
              <w:t xml:space="preserve"> </w:t>
            </w:r>
            <w:r>
              <w:rPr>
                <w:rFonts w:cs="Arial" w:ascii="Arial" w:hAnsi="Arial"/>
                <w:sz w:val="18"/>
                <w:szCs w:val="18"/>
                <w:lang w:val="ru-RU"/>
              </w:rPr>
              <w:t>науки</w:t>
            </w:r>
          </w:p>
          <w:p>
            <w:pPr>
              <w:pStyle w:val="Normal"/>
              <w:snapToGrid w:val="false"/>
              <w:ind w:left="-96" w:right="7" w:hanging="0"/>
              <w:jc w:val="right"/>
              <w:rPr/>
            </w:pPr>
            <w:r>
              <w:rPr>
                <w:rFonts w:cs="Arial" w:ascii="Arial" w:hAnsi="Arial"/>
                <w:b/>
                <w:lang w:val="ru-RU"/>
              </w:rPr>
              <w:t>ИНСТИТУТ</w:t>
            </w:r>
            <w:r>
              <w:rPr>
                <w:rFonts w:eastAsia="Arial" w:cs="Arial" w:ascii="Arial" w:hAnsi="Arial"/>
                <w:b/>
                <w:lang w:val="ru-RU"/>
              </w:rPr>
              <w:t xml:space="preserve"> </w:t>
            </w:r>
            <w:r>
              <w:rPr>
                <w:rFonts w:cs="Arial" w:ascii="Arial" w:hAnsi="Arial"/>
                <w:b/>
                <w:lang w:val="ru-RU"/>
              </w:rPr>
              <w:t>ЯДЕРНОЙ</w:t>
            </w:r>
            <w:r>
              <w:rPr>
                <w:rFonts w:eastAsia="Arial" w:cs="Arial" w:ascii="Arial" w:hAnsi="Arial"/>
                <w:b/>
                <w:lang w:val="ru-RU"/>
              </w:rPr>
              <w:t xml:space="preserve"> </w:t>
            </w:r>
            <w:r>
              <w:rPr>
                <w:rFonts w:cs="Arial" w:ascii="Arial" w:hAnsi="Arial"/>
                <w:b/>
                <w:lang w:val="ru-RU"/>
              </w:rPr>
              <w:t>ФИЗИКИ</w:t>
            </w:r>
            <w:r>
              <w:rPr>
                <w:rFonts w:eastAsia="Arial" w:cs="Arial" w:ascii="Arial" w:hAnsi="Arial"/>
                <w:b/>
                <w:lang w:val="ru-RU"/>
              </w:rPr>
              <w:t xml:space="preserve"> </w:t>
            </w:r>
            <w:r>
              <w:rPr>
                <w:rFonts w:cs="Arial" w:ascii="Arial" w:hAnsi="Arial"/>
                <w:b/>
                <w:lang w:val="ru-RU"/>
              </w:rPr>
              <w:t>им.</w:t>
            </w:r>
            <w:r>
              <w:rPr>
                <w:rFonts w:eastAsia="Arial" w:cs="Arial" w:ascii="Arial" w:hAnsi="Arial"/>
                <w:b/>
                <w:lang w:val="ru-RU"/>
              </w:rPr>
              <w:t xml:space="preserve"> </w:t>
            </w:r>
            <w:r>
              <w:rPr>
                <w:rFonts w:cs="Arial" w:ascii="Arial" w:hAnsi="Arial"/>
                <w:b/>
                <w:lang w:val="ru-RU"/>
              </w:rPr>
              <w:t>Г.И.</w:t>
            </w:r>
            <w:r>
              <w:rPr>
                <w:rFonts w:eastAsia="Arial" w:cs="Arial" w:ascii="Arial" w:hAnsi="Arial"/>
                <w:b/>
                <w:lang w:val="ru-RU"/>
              </w:rPr>
              <w:t xml:space="preserve"> </w:t>
            </w:r>
            <w:r>
              <w:rPr>
                <w:rFonts w:cs="Arial" w:ascii="Arial" w:hAnsi="Arial"/>
                <w:b/>
                <w:lang w:val="ru-RU"/>
              </w:rPr>
              <w:t>Будкера</w:t>
            </w:r>
          </w:p>
          <w:p>
            <w:pPr>
              <w:pStyle w:val="Normal"/>
              <w:ind w:left="0" w:right="-108" w:hanging="0"/>
              <w:jc w:val="right"/>
              <w:rPr/>
            </w:pPr>
            <w:r>
              <w:rPr>
                <w:rFonts w:cs="Arial" w:ascii="Arial" w:hAnsi="Arial"/>
                <w:lang w:val="ru-RU"/>
              </w:rPr>
              <w:t>Сибирского</w:t>
            </w:r>
            <w:r>
              <w:rPr>
                <w:rFonts w:eastAsia="Arial" w:cs="Arial" w:ascii="Arial" w:hAnsi="Arial"/>
                <w:lang w:val="ru-RU"/>
              </w:rPr>
              <w:t xml:space="preserve"> </w:t>
            </w:r>
            <w:r>
              <w:rPr>
                <w:rFonts w:cs="Arial" w:ascii="Arial" w:hAnsi="Arial"/>
                <w:lang w:val="ru-RU"/>
              </w:rPr>
              <w:t>отделения</w:t>
            </w:r>
            <w:r>
              <w:rPr>
                <w:rFonts w:eastAsia="Arial" w:cs="Arial" w:ascii="Arial" w:hAnsi="Arial"/>
                <w:lang w:val="ru-RU"/>
              </w:rPr>
              <w:t xml:space="preserve"> </w:t>
            </w:r>
            <w:r>
              <w:rPr>
                <w:rFonts w:cs="Arial" w:ascii="Arial" w:hAnsi="Arial"/>
                <w:lang w:val="ru-RU"/>
              </w:rPr>
              <w:t>Российской</w:t>
            </w:r>
            <w:r>
              <w:rPr>
                <w:rFonts w:eastAsia="Arial" w:cs="Arial" w:ascii="Arial" w:hAnsi="Arial"/>
                <w:lang w:val="ru-RU"/>
              </w:rPr>
              <w:t xml:space="preserve"> </w:t>
            </w:r>
            <w:r>
              <w:rPr>
                <w:rFonts w:cs="Arial" w:ascii="Arial" w:hAnsi="Arial"/>
                <w:lang w:val="ru-RU"/>
              </w:rPr>
              <w:t>академии</w:t>
            </w:r>
            <w:r>
              <w:rPr>
                <w:rFonts w:eastAsia="Arial" w:cs="Arial" w:ascii="Arial" w:hAnsi="Arial"/>
                <w:lang w:val="ru-RU"/>
              </w:rPr>
              <w:t xml:space="preserve"> </w:t>
            </w:r>
            <w:r>
              <w:rPr>
                <w:rFonts w:cs="Arial" w:ascii="Arial" w:hAnsi="Arial"/>
                <w:lang w:val="ru-RU"/>
              </w:rPr>
              <w:t>наук</w:t>
            </w:r>
            <w:r>
              <w:rPr>
                <w:rFonts w:eastAsia="Arial" w:cs="Arial" w:ascii="Arial" w:hAnsi="Arial"/>
                <w:lang w:val="ru-RU"/>
              </w:rPr>
              <w:t xml:space="preserve">  </w:t>
            </w:r>
          </w:p>
          <w:p>
            <w:pPr>
              <w:pStyle w:val="Normal"/>
              <w:ind w:left="-108" w:right="-108" w:hanging="0"/>
              <w:jc w:val="right"/>
              <w:rPr/>
            </w:pPr>
            <w:r>
              <w:rPr>
                <w:rFonts w:cs="Arial" w:ascii="Arial" w:hAnsi="Arial"/>
                <w:b/>
                <w:lang w:val="ru-RU"/>
              </w:rPr>
              <w:t>(ИЯФ</w:t>
            </w:r>
            <w:r>
              <w:rPr>
                <w:rFonts w:eastAsia="Arial" w:cs="Arial" w:ascii="Arial" w:hAnsi="Arial"/>
                <w:b/>
                <w:lang w:val="ru-RU"/>
              </w:rPr>
              <w:t xml:space="preserve"> </w:t>
            </w:r>
            <w:r>
              <w:rPr>
                <w:rFonts w:cs="Arial" w:ascii="Arial" w:hAnsi="Arial"/>
                <w:b/>
                <w:lang w:val="ru-RU"/>
              </w:rPr>
              <w:t>СО</w:t>
            </w:r>
            <w:r>
              <w:rPr>
                <w:rFonts w:eastAsia="Arial" w:cs="Arial" w:ascii="Arial" w:hAnsi="Arial"/>
                <w:b/>
                <w:lang w:val="ru-RU"/>
              </w:rPr>
              <w:t xml:space="preserve"> </w:t>
            </w:r>
            <w:r>
              <w:rPr>
                <w:rFonts w:cs="Arial" w:ascii="Arial" w:hAnsi="Arial"/>
                <w:b/>
                <w:lang w:val="ru-RU"/>
              </w:rPr>
              <w:t>РАН)</w:t>
            </w:r>
            <w:r>
              <w:rPr>
                <w:rFonts w:eastAsia="Arial" w:cs="Arial" w:ascii="Arial" w:hAnsi="Arial"/>
                <w:b/>
                <w:lang w:val="ru-RU"/>
              </w:rPr>
              <w:t xml:space="preserve"> </w:t>
            </w:r>
          </w:p>
          <w:p>
            <w:pPr>
              <w:pStyle w:val="Normal"/>
              <w:ind w:left="0" w:right="-108" w:hanging="0"/>
              <w:jc w:val="right"/>
              <w:rPr/>
            </w:pPr>
            <w:r>
              <w:rPr>
                <w:rFonts w:cs="Arial" w:ascii="Arial" w:hAnsi="Arial"/>
                <w:lang w:val="ru-RU"/>
              </w:rPr>
              <w:t>пр</w:t>
            </w:r>
            <w:r>
              <w:rPr>
                <w:rFonts w:cs="Arial" w:ascii="Arial" w:hAnsi="Arial"/>
              </w:rPr>
              <w:t>.</w:t>
            </w:r>
            <w:r>
              <w:rPr>
                <w:rFonts w:eastAsia="Arial" w:cs="Arial" w:ascii="Arial" w:hAnsi="Arial"/>
              </w:rPr>
              <w:t xml:space="preserve"> </w:t>
            </w:r>
            <w:r>
              <w:rPr>
                <w:rFonts w:cs="Arial" w:ascii="Arial" w:hAnsi="Arial"/>
                <w:lang w:val="ru-RU"/>
              </w:rPr>
              <w:t>Лаврентьева</w:t>
            </w:r>
            <w:r>
              <w:rPr>
                <w:rFonts w:eastAsia="Arial" w:cs="Arial" w:ascii="Arial" w:hAnsi="Arial"/>
              </w:rPr>
              <w:t xml:space="preserve"> </w:t>
            </w:r>
            <w:r>
              <w:rPr>
                <w:rFonts w:cs="Arial" w:ascii="Arial" w:hAnsi="Arial"/>
              </w:rPr>
              <w:t>11,</w:t>
            </w:r>
            <w:r>
              <w:rPr>
                <w:rFonts w:eastAsia="Arial" w:cs="Arial" w:ascii="Arial" w:hAnsi="Arial"/>
              </w:rPr>
              <w:t xml:space="preserve"> </w:t>
            </w:r>
            <w:r>
              <w:rPr>
                <w:rFonts w:cs="Arial" w:ascii="Arial" w:hAnsi="Arial"/>
                <w:lang w:val="ru-RU"/>
              </w:rPr>
              <w:t>г</w:t>
            </w:r>
            <w:r>
              <w:rPr>
                <w:rFonts w:cs="Arial" w:ascii="Arial" w:hAnsi="Arial"/>
              </w:rPr>
              <w:t>.</w:t>
            </w:r>
            <w:r>
              <w:rPr>
                <w:rFonts w:cs="Arial" w:ascii="Arial" w:hAnsi="Arial"/>
                <w:lang w:val="ru-RU"/>
              </w:rPr>
              <w:t>Новосибирск,</w:t>
            </w:r>
            <w:r>
              <w:rPr>
                <w:rFonts w:eastAsia="Arial" w:cs="Arial" w:ascii="Arial" w:hAnsi="Arial"/>
              </w:rPr>
              <w:t xml:space="preserve"> </w:t>
            </w:r>
            <w:r>
              <w:rPr>
                <w:rFonts w:cs="Arial" w:ascii="Arial" w:hAnsi="Arial"/>
              </w:rPr>
              <w:t>630090</w:t>
            </w:r>
            <w:r>
              <w:rPr>
                <w:rFonts w:eastAsia="Arial" w:cs="Arial" w:ascii="Arial" w:hAnsi="Arial"/>
              </w:rPr>
              <w:t xml:space="preserve"> </w:t>
            </w:r>
          </w:p>
        </w:tc>
        <w:tc>
          <w:tcPr>
            <w:tcW w:w="1091" w:type="dxa"/>
            <w:tcBorders/>
            <w:shd w:fill="auto" w:val="clear"/>
          </w:tcPr>
          <w:p>
            <w:pPr>
              <w:pStyle w:val="Normal"/>
              <w:snapToGrid w:val="false"/>
              <w:ind w:left="-108" w:right="-108" w:hanging="0"/>
              <w:jc w:val="center"/>
              <w:rPr>
                <w:rFonts w:ascii="Arial" w:hAnsi="Arial" w:cs="Arial"/>
                <w:b/>
                <w:b/>
              </w:rPr>
            </w:pPr>
            <w:r>
              <w:rPr>
                <w:rFonts w:cs="Arial" w:ascii="Arial" w:hAnsi="Arial"/>
              </w:rPr>
              <w:drawing>
                <wp:inline distT="0" distB="0" distL="0" distR="0">
                  <wp:extent cx="742950" cy="7048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2003" t="1939" r="43091" b="8550"/>
                          <a:stretch>
                            <a:fillRect/>
                          </a:stretch>
                        </pic:blipFill>
                        <pic:spPr bwMode="auto">
                          <a:xfrm>
                            <a:off x="0" y="0"/>
                            <a:ext cx="742950" cy="704850"/>
                          </a:xfrm>
                          <a:prstGeom prst="rect">
                            <a:avLst/>
                          </a:prstGeom>
                        </pic:spPr>
                      </pic:pic>
                    </a:graphicData>
                  </a:graphic>
                </wp:inline>
              </w:drawing>
            </w:r>
          </w:p>
        </w:tc>
        <w:tc>
          <w:tcPr>
            <w:tcW w:w="4677" w:type="dxa"/>
            <w:tcBorders/>
            <w:shd w:fill="auto" w:val="clear"/>
          </w:tcPr>
          <w:p>
            <w:pPr>
              <w:pStyle w:val="Normal"/>
              <w:snapToGrid w:val="false"/>
              <w:ind w:left="-108" w:right="-105" w:hanging="0"/>
              <w:rPr/>
            </w:pPr>
            <w:r>
              <w:rPr>
                <w:rFonts w:cs="Arial" w:ascii="Arial" w:hAnsi="Arial"/>
                <w:b/>
              </w:rPr>
              <w:t>BUDKER</w:t>
            </w:r>
            <w:r>
              <w:rPr>
                <w:rFonts w:eastAsia="Arial" w:cs="Arial" w:ascii="Arial" w:hAnsi="Arial"/>
                <w:b/>
              </w:rPr>
              <w:t xml:space="preserve"> </w:t>
            </w:r>
            <w:r>
              <w:rPr>
                <w:rFonts w:cs="Arial" w:ascii="Arial" w:hAnsi="Arial"/>
                <w:b/>
              </w:rPr>
              <w:t>INSTITUTE</w:t>
            </w:r>
            <w:r>
              <w:rPr>
                <w:rFonts w:eastAsia="Arial" w:cs="Arial" w:ascii="Arial" w:hAnsi="Arial"/>
                <w:b/>
              </w:rPr>
              <w:t xml:space="preserve"> </w:t>
            </w:r>
            <w:r>
              <w:rPr>
                <w:rFonts w:cs="Arial" w:ascii="Arial" w:hAnsi="Arial"/>
                <w:b/>
              </w:rPr>
              <w:t>OF</w:t>
            </w:r>
            <w:r>
              <w:rPr>
                <w:rFonts w:eastAsia="Arial" w:cs="Arial" w:ascii="Arial" w:hAnsi="Arial"/>
                <w:b/>
              </w:rPr>
              <w:t xml:space="preserve"> </w:t>
            </w:r>
            <w:r>
              <w:rPr>
                <w:rFonts w:cs="Arial" w:ascii="Arial" w:hAnsi="Arial"/>
                <w:b/>
              </w:rPr>
              <w:t>NUCLEAR</w:t>
            </w:r>
            <w:r>
              <w:rPr>
                <w:rFonts w:eastAsia="Arial" w:cs="Arial" w:ascii="Arial" w:hAnsi="Arial"/>
                <w:b/>
              </w:rPr>
              <w:t xml:space="preserve"> </w:t>
            </w:r>
            <w:r>
              <w:rPr>
                <w:rFonts w:cs="Arial" w:ascii="Arial" w:hAnsi="Arial"/>
                <w:b/>
              </w:rPr>
              <w:t>PHYSICS</w:t>
            </w:r>
          </w:p>
          <w:p>
            <w:pPr>
              <w:pStyle w:val="Normal"/>
              <w:snapToGrid w:val="false"/>
              <w:ind w:left="-108" w:right="-101" w:hanging="0"/>
              <w:rPr/>
            </w:pPr>
            <w:r>
              <w:rPr>
                <w:rFonts w:cs="Arial" w:ascii="Arial" w:hAnsi="Arial"/>
              </w:rPr>
              <w:t>of</w:t>
            </w:r>
            <w:r>
              <w:rPr>
                <w:rFonts w:eastAsia="Arial" w:cs="Arial" w:ascii="Arial" w:hAnsi="Arial"/>
              </w:rPr>
              <w:t xml:space="preserve"> </w:t>
            </w:r>
            <w:r>
              <w:rPr>
                <w:rFonts w:cs="Arial" w:ascii="Arial" w:hAnsi="Arial"/>
              </w:rPr>
              <w:t>Siberian</w:t>
            </w:r>
            <w:r>
              <w:rPr>
                <w:rFonts w:eastAsia="Arial" w:cs="Arial" w:ascii="Arial" w:hAnsi="Arial"/>
              </w:rPr>
              <w:t xml:space="preserve"> </w:t>
            </w:r>
            <w:r>
              <w:rPr>
                <w:rFonts w:cs="Arial" w:ascii="Arial" w:hAnsi="Arial"/>
              </w:rPr>
              <w:t>Branch</w:t>
            </w:r>
            <w:r>
              <w:rPr>
                <w:rFonts w:eastAsia="Arial" w:cs="Arial" w:ascii="Arial" w:hAnsi="Arial"/>
              </w:rPr>
              <w:t xml:space="preserve"> </w:t>
            </w:r>
            <w:r>
              <w:rPr>
                <w:rFonts w:cs="Arial" w:ascii="Arial" w:hAnsi="Arial"/>
              </w:rPr>
              <w:t>Russian</w:t>
            </w:r>
            <w:r>
              <w:rPr>
                <w:rFonts w:eastAsia="Arial" w:cs="Arial" w:ascii="Arial" w:hAnsi="Arial"/>
              </w:rPr>
              <w:t xml:space="preserve"> </w:t>
            </w:r>
            <w:r>
              <w:rPr>
                <w:rFonts w:cs="Arial" w:ascii="Arial" w:hAnsi="Arial"/>
              </w:rPr>
              <w:t>Academy</w:t>
            </w:r>
            <w:r>
              <w:rPr>
                <w:rFonts w:eastAsia="Arial" w:cs="Arial" w:ascii="Arial" w:hAnsi="Arial"/>
              </w:rPr>
              <w:t xml:space="preserve"> </w:t>
            </w:r>
            <w:r>
              <w:rPr>
                <w:rFonts w:cs="Arial" w:ascii="Arial" w:hAnsi="Arial"/>
              </w:rPr>
              <w:t>of</w:t>
            </w:r>
            <w:r>
              <w:rPr>
                <w:rFonts w:eastAsia="Arial" w:cs="Arial" w:ascii="Arial" w:hAnsi="Arial"/>
              </w:rPr>
              <w:t xml:space="preserve"> </w:t>
            </w:r>
            <w:r>
              <w:rPr>
                <w:rFonts w:cs="Arial" w:ascii="Arial" w:hAnsi="Arial"/>
              </w:rPr>
              <w:t>Sciences</w:t>
            </w:r>
          </w:p>
          <w:p>
            <w:pPr>
              <w:pStyle w:val="Normal"/>
              <w:ind w:left="-108" w:right="-105" w:hanging="0"/>
              <w:rPr/>
            </w:pPr>
            <w:r>
              <w:rPr>
                <w:rFonts w:cs="Arial" w:ascii="Arial" w:hAnsi="Arial"/>
                <w:b/>
              </w:rPr>
              <w:t>(BINP</w:t>
            </w:r>
            <w:r>
              <w:rPr>
                <w:rFonts w:eastAsia="Arial" w:cs="Arial" w:ascii="Arial" w:hAnsi="Arial"/>
                <w:b/>
              </w:rPr>
              <w:t xml:space="preserve"> </w:t>
            </w:r>
            <w:r>
              <w:rPr>
                <w:rFonts w:cs="Arial" w:ascii="Arial" w:hAnsi="Arial"/>
                <w:b/>
              </w:rPr>
              <w:t>SB</w:t>
            </w:r>
            <w:r>
              <w:rPr>
                <w:rFonts w:eastAsia="Arial" w:cs="Arial" w:ascii="Arial" w:hAnsi="Arial"/>
                <w:b/>
              </w:rPr>
              <w:t xml:space="preserve"> </w:t>
            </w:r>
            <w:r>
              <w:rPr>
                <w:rFonts w:cs="Arial" w:ascii="Arial" w:hAnsi="Arial"/>
                <w:b/>
              </w:rPr>
              <w:t>RAS)</w:t>
            </w:r>
          </w:p>
          <w:p>
            <w:pPr>
              <w:pStyle w:val="Normal"/>
              <w:ind w:left="-108" w:right="-105" w:hanging="0"/>
              <w:rPr/>
            </w:pPr>
            <w:r>
              <w:rPr>
                <w:rFonts w:cs="Arial" w:ascii="Arial" w:hAnsi="Arial"/>
              </w:rPr>
              <w:t>Lavrentiev</w:t>
            </w:r>
            <w:r>
              <w:rPr>
                <w:rFonts w:eastAsia="Arial" w:cs="Arial" w:ascii="Arial" w:hAnsi="Arial"/>
              </w:rPr>
              <w:t xml:space="preserve"> </w:t>
            </w:r>
            <w:r>
              <w:rPr>
                <w:rFonts w:cs="Arial" w:ascii="Arial" w:hAnsi="Arial"/>
              </w:rPr>
              <w:t>av.</w:t>
            </w:r>
            <w:r>
              <w:rPr>
                <w:rFonts w:eastAsia="Arial" w:cs="Arial" w:ascii="Arial" w:hAnsi="Arial"/>
              </w:rPr>
              <w:t xml:space="preserve"> </w:t>
            </w:r>
            <w:r>
              <w:rPr>
                <w:rFonts w:cs="Arial" w:ascii="Arial" w:hAnsi="Arial"/>
              </w:rPr>
              <w:t>11,</w:t>
            </w:r>
            <w:r>
              <w:rPr>
                <w:rFonts w:eastAsia="Arial" w:cs="Arial" w:ascii="Arial" w:hAnsi="Arial"/>
              </w:rPr>
              <w:t xml:space="preserve"> </w:t>
            </w:r>
            <w:r>
              <w:rPr>
                <w:rFonts w:cs="Arial" w:ascii="Arial" w:hAnsi="Arial"/>
              </w:rPr>
              <w:t>Novosibirsk</w:t>
            </w:r>
          </w:p>
          <w:p>
            <w:pPr>
              <w:pStyle w:val="Normal"/>
              <w:ind w:left="-108" w:right="-105" w:hanging="0"/>
              <w:rPr/>
            </w:pPr>
            <w:r>
              <w:rPr>
                <w:rFonts w:cs="Arial" w:ascii="Arial" w:hAnsi="Arial"/>
              </w:rPr>
              <w:t>630090</w:t>
            </w:r>
            <w:r>
              <w:rPr>
                <w:rFonts w:cs="Arial" w:ascii="Arial" w:hAnsi="Arial"/>
                <w:lang w:val="ru-RU"/>
              </w:rPr>
              <w:t>,</w:t>
            </w:r>
            <w:r>
              <w:rPr>
                <w:rFonts w:eastAsia="Arial" w:cs="Arial" w:ascii="Arial" w:hAnsi="Arial"/>
              </w:rPr>
              <w:t xml:space="preserve"> </w:t>
            </w:r>
            <w:r>
              <w:rPr>
                <w:rFonts w:cs="Arial" w:ascii="Arial" w:hAnsi="Arial"/>
              </w:rPr>
              <w:t>Russia</w:t>
            </w:r>
          </w:p>
        </w:tc>
      </w:tr>
    </w:tbl>
    <w:p>
      <w:pPr>
        <w:pStyle w:val="Normal"/>
        <w:rPr>
          <w:sz w:val="24"/>
          <w:lang w:val="ru-RU"/>
        </w:rPr>
      </w:pPr>
      <w:r>
        <w:rPr>
          <w:sz w:val="24"/>
          <w:lang w:val="ru-RU"/>
        </w:rPr>
        <mc:AlternateContent>
          <mc:Choice Requires="wps">
            <w:drawing>
              <wp:anchor behindDoc="0" distT="0" distB="0" distL="114935" distR="114935" simplePos="0" locked="0" layoutInCell="1" allowOverlap="1" relativeHeight="3">
                <wp:simplePos x="0" y="0"/>
                <wp:positionH relativeFrom="column">
                  <wp:posOffset>-97155</wp:posOffset>
                </wp:positionH>
                <wp:positionV relativeFrom="paragraph">
                  <wp:posOffset>129540</wp:posOffset>
                </wp:positionV>
                <wp:extent cx="6811010" cy="635"/>
                <wp:effectExtent l="0" t="0" r="0" b="0"/>
                <wp:wrapNone/>
                <wp:docPr id="2" name=""/>
                <a:graphic xmlns:a="http://schemas.openxmlformats.org/drawingml/2006/main">
                  <a:graphicData uri="http://schemas.microsoft.com/office/word/2010/wordprocessingShape">
                    <wps:wsp>
                      <wps:cNvSpPr/>
                      <wps:spPr>
                        <a:xfrm>
                          <a:off x="0" y="0"/>
                          <a:ext cx="681048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7.65pt,10.2pt" to="528.55pt,10.2pt" stroked="t" style="position:absolute">
                <v:stroke color="black" weight="12600" joinstyle="miter" endcap="square"/>
                <v:fill o:detectmouseclick="t" on="false"/>
              </v:line>
            </w:pict>
          </mc:Fallback>
        </mc:AlternateContent>
      </w:r>
    </w:p>
    <w:tbl>
      <w:tblPr>
        <w:tblW w:w="10773" w:type="dxa"/>
        <w:jc w:val="left"/>
        <w:tblInd w:w="108" w:type="dxa"/>
        <w:tblBorders/>
        <w:tblCellMar>
          <w:top w:w="0" w:type="dxa"/>
          <w:left w:w="108" w:type="dxa"/>
          <w:bottom w:w="0" w:type="dxa"/>
          <w:right w:w="108" w:type="dxa"/>
        </w:tblCellMar>
      </w:tblPr>
      <w:tblGrid>
        <w:gridCol w:w="4784"/>
        <w:gridCol w:w="1315"/>
        <w:gridCol w:w="4674"/>
      </w:tblGrid>
      <w:tr>
        <w:trPr/>
        <w:tc>
          <w:tcPr>
            <w:tcW w:w="4784" w:type="dxa"/>
            <w:tcBorders/>
            <w:shd w:fill="auto" w:val="clear"/>
          </w:tcPr>
          <w:p>
            <w:pPr>
              <w:pStyle w:val="Normal"/>
              <w:snapToGrid w:val="false"/>
              <w:jc w:val="right"/>
              <w:rPr>
                <w:sz w:val="24"/>
                <w:szCs w:val="24"/>
                <w:lang w:val="ru-RU"/>
              </w:rPr>
            </w:pPr>
            <w:r>
              <w:rPr>
                <w:sz w:val="24"/>
                <w:szCs w:val="24"/>
                <w:lang w:val="ru-RU"/>
              </w:rPr>
              <w:t>Телефон: (383) 330-47-60</w:t>
            </w:r>
          </w:p>
          <w:p>
            <w:pPr>
              <w:pStyle w:val="Normal"/>
              <w:snapToGrid w:val="false"/>
              <w:jc w:val="right"/>
              <w:rPr>
                <w:sz w:val="24"/>
                <w:szCs w:val="24"/>
                <w:lang w:val="ru-RU"/>
              </w:rPr>
            </w:pPr>
            <w:r>
              <w:rPr>
                <w:sz w:val="24"/>
                <w:szCs w:val="24"/>
                <w:lang w:val="ru-RU"/>
              </w:rPr>
              <w:t>Факс: (383) 330-71-63</w:t>
            </w:r>
          </w:p>
          <w:p>
            <w:pPr>
              <w:pStyle w:val="Normal"/>
              <w:jc w:val="right"/>
              <w:rPr>
                <w:sz w:val="24"/>
                <w:szCs w:val="24"/>
                <w:lang w:val="ru-RU"/>
              </w:rPr>
            </w:pPr>
            <w:r>
              <w:rPr>
                <w:sz w:val="24"/>
                <w:szCs w:val="24"/>
                <w:lang w:val="ru-RU"/>
              </w:rPr>
              <w:t>Телеграммы: г.Новосибирск-90 АТОМ</w:t>
            </w:r>
          </w:p>
        </w:tc>
        <w:tc>
          <w:tcPr>
            <w:tcW w:w="1315" w:type="dxa"/>
            <w:tcBorders/>
            <w:shd w:fill="auto" w:val="clear"/>
          </w:tcPr>
          <w:p>
            <w:pPr>
              <w:pStyle w:val="Normal"/>
              <w:snapToGrid w:val="false"/>
              <w:ind w:left="-108" w:right="0" w:hanging="0"/>
              <w:jc w:val="center"/>
              <w:rPr>
                <w:rFonts w:ascii="Arial" w:hAnsi="Arial" w:cs="Arial"/>
                <w:lang w:val="ru-RU"/>
              </w:rPr>
            </w:pPr>
            <w:r>
              <w:rPr>
                <w:rFonts w:cs="Arial" w:ascii="Arial" w:hAnsi="Arial"/>
                <w:lang w:val="ru-RU"/>
              </w:rPr>
            </w:r>
          </w:p>
        </w:tc>
        <w:tc>
          <w:tcPr>
            <w:tcW w:w="4674" w:type="dxa"/>
            <w:tcBorders/>
            <w:shd w:fill="auto" w:val="clear"/>
          </w:tcPr>
          <w:p>
            <w:pPr>
              <w:pStyle w:val="Normal"/>
              <w:snapToGrid w:val="false"/>
              <w:rPr>
                <w:sz w:val="24"/>
                <w:szCs w:val="24"/>
              </w:rPr>
            </w:pPr>
            <w:r>
              <w:rPr>
                <w:sz w:val="24"/>
                <w:szCs w:val="24"/>
              </w:rPr>
              <w:t>Phone: +7 (383) 330-47-60</w:t>
            </w:r>
          </w:p>
          <w:p>
            <w:pPr>
              <w:pStyle w:val="Normal"/>
              <w:rPr>
                <w:sz w:val="24"/>
                <w:szCs w:val="24"/>
              </w:rPr>
            </w:pPr>
            <w:r>
              <w:rPr>
                <w:sz w:val="24"/>
                <w:szCs w:val="24"/>
              </w:rPr>
              <w:t>Fax: +7 (383) 330-71-63</w:t>
            </w:r>
          </w:p>
          <w:p>
            <w:pPr>
              <w:pStyle w:val="Normal"/>
              <w:rPr/>
            </w:pPr>
            <w:r>
              <w:rPr>
                <w:sz w:val="24"/>
                <w:szCs w:val="24"/>
              </w:rPr>
              <w:t>Telegrams: Novosibirsk</w:t>
            </w:r>
            <w:r>
              <w:rPr>
                <w:sz w:val="24"/>
                <w:szCs w:val="24"/>
                <w:lang w:val="ru-RU"/>
              </w:rPr>
              <w:t>-</w:t>
            </w:r>
            <w:r>
              <w:rPr>
                <w:sz w:val="24"/>
                <w:szCs w:val="24"/>
              </w:rPr>
              <w:t>90 ATOM</w:t>
            </w:r>
          </w:p>
        </w:tc>
      </w:tr>
    </w:tbl>
    <w:p>
      <w:pPr>
        <w:pStyle w:val="Normal"/>
        <w:rPr/>
      </w:pPr>
      <w:r>
        <w:rPr/>
      </w:r>
    </w:p>
    <w:p>
      <w:pPr>
        <w:pStyle w:val="Normal"/>
        <w:rPr/>
      </w:pPr>
      <w:r>
        <w:rPr/>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TO WHOM  IT  MAY CONCERN                                                                              June 15, 2018</w:t>
      </w:r>
    </w:p>
    <w:p>
      <w:pPr>
        <w:pStyle w:val="ConsNormal"/>
        <w:spacing w:before="0" w:after="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ConsNormal"/>
        <w:spacing w:before="0" w:after="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ConsNormal"/>
        <w:spacing w:before="0" w:after="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firstLine="709"/>
        <w:jc w:val="both"/>
        <w:rPr>
          <w:sz w:val="24"/>
          <w:szCs w:val="24"/>
        </w:rPr>
      </w:pPr>
      <w:r>
        <w:rPr>
          <w:sz w:val="24"/>
          <w:szCs w:val="24"/>
          <w:lang w:val="en-US"/>
        </w:rPr>
        <w:t>Budker Institute of Nuclear Physics is starting a new project of the Super C-Tau Factory (SCTF). This facility, an electron-positron collider, will operate at center-of-mass energies from 2 to 5 GeV with unprecedented high luminosity of 10</w:t>
      </w:r>
      <w:r>
        <w:rPr>
          <w:sz w:val="24"/>
          <w:szCs w:val="24"/>
          <w:vertAlign w:val="superscript"/>
          <w:lang w:val="en-US"/>
        </w:rPr>
        <w:t>35</w:t>
      </w:r>
      <w:r>
        <w:rPr>
          <w:sz w:val="24"/>
          <w:szCs w:val="24"/>
          <w:lang w:val="en-US"/>
        </w:rPr>
        <w:t xml:space="preserve"> cm</w:t>
      </w:r>
      <w:r>
        <w:rPr>
          <w:sz w:val="24"/>
          <w:szCs w:val="24"/>
          <w:vertAlign w:val="superscript"/>
          <w:lang w:val="en-US"/>
        </w:rPr>
        <w:t>-2</w:t>
      </w:r>
      <w:r>
        <w:rPr>
          <w:sz w:val="24"/>
          <w:szCs w:val="24"/>
          <w:lang w:val="en-US"/>
        </w:rPr>
        <w:t>s</w:t>
      </w:r>
      <w:r>
        <w:rPr>
          <w:sz w:val="24"/>
          <w:szCs w:val="24"/>
          <w:vertAlign w:val="superscript"/>
          <w:lang w:val="en-US"/>
        </w:rPr>
        <w:t>-1</w:t>
      </w:r>
      <w:r>
        <w:rPr>
          <w:sz w:val="24"/>
          <w:szCs w:val="24"/>
          <w:lang w:val="en-US"/>
        </w:rPr>
        <w:t xml:space="preserve"> and the longitudinal polarization of the electrons at the interaction region. The main purpose of the experiments at SCTF is a search for effects of CP violation in decays of charmed particles, tests of the Standard Model in  tau lepton decays, a search for and study of entirely new forms of matter: glueballs, hybrids, tetraquarks etc. </w:t>
      </w:r>
    </w:p>
    <w:p>
      <w:pPr>
        <w:pStyle w:val="Normal"/>
        <w:ind w:firstLine="709"/>
        <w:jc w:val="both"/>
        <w:rPr>
          <w:lang w:val="en-US"/>
        </w:rPr>
      </w:pPr>
      <w:r>
        <w:rPr>
          <w:sz w:val="24"/>
          <w:szCs w:val="24"/>
        </w:rPr>
      </w:r>
    </w:p>
    <w:p>
      <w:pPr>
        <w:pStyle w:val="Normal"/>
        <w:ind w:firstLine="709"/>
        <w:jc w:val="both"/>
        <w:rPr>
          <w:sz w:val="24"/>
          <w:szCs w:val="24"/>
        </w:rPr>
      </w:pPr>
      <w:r>
        <w:rPr>
          <w:sz w:val="24"/>
          <w:szCs w:val="24"/>
          <w:lang w:val="en-US"/>
        </w:rPr>
        <w:t>Russian Federation Government Order No. 1325-r of June 24, 2017 approved the plan of activities for the implementation of the first phase of the Strategy</w:t>
      </w:r>
      <w:r>
        <w:rPr>
          <w:rFonts w:eastAsia="Times New Roman"/>
          <w:color w:val="020C22"/>
          <w:spacing w:val="6"/>
          <w:sz w:val="24"/>
          <w:szCs w:val="24"/>
          <w:lang w:val="en-US" w:eastAsia="ru-RU"/>
        </w:rPr>
        <w:t xml:space="preserve"> for Scientific and Technological Development of the Russian Federation</w:t>
      </w:r>
      <w:r>
        <w:rPr>
          <w:sz w:val="24"/>
          <w:szCs w:val="24"/>
          <w:lang w:val="en-US"/>
        </w:rPr>
        <w:t xml:space="preserve"> (for 2017–2019), according to which a program for the creation and development of a network of unique "megascience" class facilities on the territory of the Russian Federation (activity 30) should be developed. Among the anticipated results of this activity is formation of international collaborations, completion of the stage of design of the second-stage "megascience" class facilities on the territory of the Russian Federation, including SCTF, and transition to the stage of their construction. The decision on the transition to the construction phase is expected to be adopted at the end of 2019, and since that moment the machine construction will take approximately 7 years.</w:t>
      </w:r>
    </w:p>
    <w:p>
      <w:pPr>
        <w:pStyle w:val="Normal"/>
        <w:ind w:firstLine="709"/>
        <w:jc w:val="both"/>
        <w:rPr>
          <w:lang w:val="en-US"/>
        </w:rPr>
      </w:pPr>
      <w:r>
        <w:rPr>
          <w:sz w:val="24"/>
          <w:szCs w:val="24"/>
        </w:rPr>
      </w:r>
    </w:p>
    <w:p>
      <w:pPr>
        <w:pStyle w:val="Normal"/>
        <w:ind w:firstLine="709"/>
        <w:jc w:val="both"/>
        <w:rPr>
          <w:sz w:val="24"/>
          <w:szCs w:val="24"/>
        </w:rPr>
      </w:pPr>
      <w:r>
        <w:rPr>
          <w:sz w:val="24"/>
          <w:szCs w:val="24"/>
          <w:lang w:val="en-US"/>
        </w:rPr>
        <w:t xml:space="preserve">Hereby we invite various groups from INFN to join the collaboration and take part in the development and construction of the detector for the SCTF. In particular, taking into account the strong level of expertise INFN has, we would like to encourage INFN groups joining work on the  development of an MPGD-based Inner Tracker </w:t>
      </w:r>
      <w:r>
        <w:rPr>
          <w:color w:val="FF0000"/>
          <w:sz w:val="24"/>
          <w:szCs w:val="24"/>
          <w:lang w:val="en-US"/>
        </w:rPr>
        <w:t xml:space="preserve">(GEM/RWELL: INFN-LNF </w:t>
      </w:r>
      <w:bookmarkStart w:id="0" w:name="_GoBack"/>
      <w:bookmarkEnd w:id="0"/>
      <w:r>
        <w:rPr>
          <w:color w:val="FF0000"/>
          <w:sz w:val="24"/>
          <w:szCs w:val="24"/>
          <w:lang w:val="en-US"/>
        </w:rPr>
        <w:t xml:space="preserve">G.Bencivenni, INFN-Ferrara G.Cibinetto), </w:t>
      </w:r>
      <w:r>
        <w:rPr>
          <w:sz w:val="24"/>
          <w:szCs w:val="24"/>
          <w:lang w:val="en-US"/>
        </w:rPr>
        <w:t xml:space="preserve">gamma-gamma tagger and luminometer </w:t>
      </w:r>
      <w:r>
        <w:rPr>
          <w:color w:val="FF0000"/>
          <w:sz w:val="24"/>
          <w:szCs w:val="24"/>
          <w:lang w:val="en-US"/>
        </w:rPr>
        <w:t xml:space="preserve">(INFN-LNF C.Bloise, INFN-Roma2 D.Moricciani) </w:t>
      </w:r>
      <w:r>
        <w:rPr>
          <w:sz w:val="24"/>
          <w:szCs w:val="24"/>
          <w:lang w:val="en-US"/>
        </w:rPr>
        <w:t xml:space="preserve">and </w:t>
      </w:r>
      <w:r>
        <w:rPr>
          <w:color w:val="FF0000"/>
          <w:sz w:val="24"/>
          <w:szCs w:val="24"/>
          <w:lang w:val="en-US"/>
        </w:rPr>
        <w:t xml:space="preserve">ultra-light </w:t>
      </w:r>
      <w:r>
        <w:rPr>
          <w:sz w:val="24"/>
          <w:szCs w:val="24"/>
          <w:lang w:val="en-US"/>
        </w:rPr>
        <w:t xml:space="preserve">drift chamber </w:t>
      </w:r>
      <w:r>
        <w:rPr>
          <w:color w:val="FF0000"/>
          <w:sz w:val="24"/>
          <w:szCs w:val="24"/>
          <w:lang w:val="en-US"/>
        </w:rPr>
        <w:t xml:space="preserve">(INFN-Lecce F.Grancagnolo). </w:t>
      </w:r>
      <w:r>
        <w:rPr>
          <w:sz w:val="24"/>
          <w:szCs w:val="24"/>
          <w:lang w:val="en-US"/>
        </w:rPr>
        <w:t xml:space="preserve">At the present stage of the project the joining groups from </w:t>
      </w:r>
      <w:r>
        <w:rPr>
          <w:spacing w:val="6"/>
          <w:sz w:val="24"/>
          <w:szCs w:val="24"/>
          <w:lang w:val="en-US"/>
        </w:rPr>
        <w:t xml:space="preserve">leading scientific organizations </w:t>
      </w:r>
      <w:r>
        <w:rPr>
          <w:sz w:val="24"/>
          <w:szCs w:val="24"/>
          <w:lang w:val="en-US"/>
        </w:rPr>
        <w:t xml:space="preserve">should participate in the research and development program aiming at the completion of the Conceptual Design Report and  preparation of the Technical Design Report, as well as  take part in annual (or once per 6 months) collaboration meetings. We would also like to express our readiness to make a presentation at the INFN Scientific Committee about the machine project, physics program and detector concepts. </w:t>
      </w:r>
    </w:p>
    <w:p>
      <w:pPr>
        <w:pStyle w:val="Normal"/>
        <w:ind w:firstLine="709"/>
        <w:jc w:val="both"/>
        <w:rPr>
          <w:lang w:val="en-US"/>
        </w:rPr>
      </w:pPr>
      <w:r>
        <w:rPr>
          <w:sz w:val="24"/>
          <w:szCs w:val="24"/>
        </w:rPr>
      </w:r>
    </w:p>
    <w:p>
      <w:pPr>
        <w:pStyle w:val="Normal"/>
        <w:ind w:firstLine="709"/>
        <w:jc w:val="both"/>
        <w:rPr>
          <w:lang w:val="en-US"/>
        </w:rPr>
      </w:pPr>
      <w:r>
        <w:rPr>
          <w:sz w:val="24"/>
          <w:szCs w:val="24"/>
        </w:rPr>
      </w:r>
    </w:p>
    <w:p>
      <w:pPr>
        <w:pStyle w:val="Normal"/>
        <w:ind w:firstLine="709"/>
        <w:jc w:val="both"/>
        <w:rPr>
          <w:lang w:val="en-US"/>
        </w:rPr>
      </w:pPr>
      <w:r>
        <w:rPr>
          <w:sz w:val="24"/>
          <w:szCs w:val="24"/>
        </w:rPr>
      </w:r>
    </w:p>
    <w:p>
      <w:pPr>
        <w:pStyle w:val="Normal"/>
        <w:ind w:hanging="0"/>
        <w:jc w:val="both"/>
        <w:rPr>
          <w:sz w:val="24"/>
          <w:szCs w:val="24"/>
        </w:rPr>
      </w:pPr>
      <w:r>
        <w:rPr>
          <w:sz w:val="24"/>
          <w:szCs w:val="24"/>
          <w:lang w:val="en-US"/>
        </w:rPr>
        <w:t>BINP Deputy Director</w:t>
      </w:r>
    </w:p>
    <w:p>
      <w:pPr>
        <w:pStyle w:val="Normal"/>
        <w:ind w:hanging="0"/>
        <w:jc w:val="both"/>
        <w:rPr>
          <w:sz w:val="24"/>
          <w:szCs w:val="24"/>
        </w:rPr>
      </w:pPr>
      <w:r>
        <w:rPr>
          <w:sz w:val="24"/>
          <w:szCs w:val="24"/>
          <w:lang w:val="en-US"/>
        </w:rPr>
        <w:t>SCTF Project Leader                                                                                            Yu. A. Tikhonov</w:t>
      </w:r>
    </w:p>
    <w:p>
      <w:pPr>
        <w:pStyle w:val="Normal"/>
        <w:rPr/>
      </w:pPr>
      <w:r>
        <w:rPr>
          <w:lang w:val="en-US"/>
        </w:rPr>
        <w:t xml:space="preserve">   </w:t>
      </w:r>
    </w:p>
    <w:p>
      <w:pPr>
        <w:pStyle w:val="ConsNormal"/>
        <w:spacing w:before="0" w:after="57"/>
        <w:jc w:val="both"/>
        <w:rPr/>
      </w:pPr>
      <w:r>
        <w:rPr>
          <w:rFonts w:eastAsia="Times New Roman" w:cs="Times New Roman" w:ascii="Times New Roman" w:hAnsi="Times New Roman"/>
          <w:sz w:val="24"/>
          <w:szCs w:val="24"/>
        </w:rPr>
        <w:t xml:space="preserve">                           </w:t>
      </w:r>
    </w:p>
    <w:sectPr>
      <w:type w:val="nextPage"/>
      <w:pgSz w:w="11906" w:h="16838"/>
      <w:pgMar w:left="1134"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Symbol">
    <w:charset w:val="80"/>
    <w:family w:val="roman"/>
    <w:pitch w:val="variable"/>
  </w:font>
  <w:font w:name="Arial">
    <w:charset w:val="cc"/>
    <w:family w:val="swiss"/>
    <w:pitch w:val="variable"/>
  </w:font>
  <w:font w:name="Courier New">
    <w:charset w:val="cc"/>
    <w:family w:val="modern"/>
    <w:pitch w:val="default"/>
  </w:font>
  <w:font w:name="Tahoma">
    <w:charset w:val="cc"/>
    <w:family w:val="swiss"/>
    <w:pitch w:val="variable"/>
  </w:font>
  <w:font w:name="Arial">
    <w:charset w:val="80"/>
    <w:family w:val="swiss"/>
    <w:pitch w:val="default"/>
  </w:font>
  <w:font w:name="Times New Roman">
    <w:charset w:val="80"/>
    <w:family w:val="roman"/>
    <w:pitch w:val="default"/>
  </w:font>
</w:fonts>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 w:val="24"/>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0"/>
      <w:szCs w:val="20"/>
      <w:lang w:val="en-US"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Style14">
    <w:name w:val="Основной шрифт абзаца"/>
    <w:qFormat/>
    <w:rPr/>
  </w:style>
  <w:style w:type="character" w:styleId="WWAbsatzStandardschriftart111111">
    <w:name w:val="WW-Absatz-Standardschriftart111111"/>
    <w:qFormat/>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Symbol" w:hAnsi="Symbol" w:cs="Symbol"/>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rFonts w:ascii="Symbol" w:hAnsi="Symbol" w:cs="Symbol"/>
    </w:rPr>
  </w:style>
  <w:style w:type="character" w:styleId="WW8Num11z0">
    <w:name w:val="WW8Num11z0"/>
    <w:qFormat/>
    <w:rPr>
      <w:rFonts w:ascii="Symbol" w:hAnsi="Symbol" w:cs="Symbol"/>
    </w:rPr>
  </w:style>
  <w:style w:type="character" w:styleId="1">
    <w:name w:val="Основной шрифт абзаца1"/>
    <w:qFormat/>
    <w:rPr/>
  </w:style>
  <w:style w:type="character" w:styleId="InternetLink">
    <w:name w:val="Internet Link"/>
    <w:basedOn w:val="1"/>
    <w:rPr>
      <w:color w:val="0000FF"/>
      <w:u w:val="single"/>
    </w:rPr>
  </w:style>
  <w:style w:type="paragraph" w:styleId="Heading">
    <w:name w:val="Heading"/>
    <w:basedOn w:val="Normal"/>
    <w:next w:val="TextBody"/>
    <w:qFormat/>
    <w:pPr>
      <w:keepNext w:val="true"/>
      <w:spacing w:before="240" w:after="120"/>
    </w:pPr>
    <w:rPr>
      <w:rFonts w:ascii="Arial" w:hAnsi="Arial" w:eastAsia="DejaVu LGC Sans" w:cs="DejaVu LGC Sans"/>
      <w:sz w:val="28"/>
      <w:szCs w:val="28"/>
    </w:rPr>
  </w:style>
  <w:style w:type="paragraph" w:styleId="TextBody">
    <w:name w:val="Body Text"/>
    <w:basedOn w:val="Normal"/>
    <w:pPr>
      <w:spacing w:before="0" w:after="120"/>
    </w:pPr>
    <w:rPr/>
  </w:style>
  <w:style w:type="paragraph" w:styleId="List">
    <w:name w:val="List"/>
    <w:basedOn w:val="TextBody"/>
    <w:pPr/>
    <w:rPr>
      <w:rFonts w:ascii="Arial" w:hAnsi="Arial"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5">
    <w:name w:val="Заголовок"/>
    <w:basedOn w:val="Normal"/>
    <w:next w:val="TextBody"/>
    <w:qFormat/>
    <w:pPr>
      <w:keepNext w:val="true"/>
      <w:spacing w:before="240" w:after="120"/>
    </w:pPr>
    <w:rPr>
      <w:rFonts w:ascii="Arial" w:hAnsi="Arial" w:eastAsia="Lucida Sans Unicode" w:cs="Mangal"/>
      <w:sz w:val="28"/>
      <w:szCs w:val="28"/>
    </w:rPr>
  </w:style>
  <w:style w:type="paragraph" w:styleId="11">
    <w:name w:val="Название1"/>
    <w:basedOn w:val="Normal"/>
    <w:qFormat/>
    <w:pPr>
      <w:suppressLineNumbers/>
      <w:spacing w:before="120" w:after="120"/>
    </w:pPr>
    <w:rPr>
      <w:rFonts w:ascii="Arial" w:hAnsi="Arial" w:cs="Mangal"/>
      <w:i/>
      <w:iCs/>
      <w:sz w:val="20"/>
      <w:szCs w:val="24"/>
    </w:rPr>
  </w:style>
  <w:style w:type="paragraph" w:styleId="12">
    <w:name w:val="Указатель1"/>
    <w:basedOn w:val="Normal"/>
    <w:qFormat/>
    <w:pPr>
      <w:suppressLineNumbers/>
    </w:pPr>
    <w:rPr>
      <w:rFonts w:ascii="Arial" w:hAnsi="Arial" w:cs="Mangal"/>
    </w:rPr>
  </w:style>
  <w:style w:type="paragraph" w:styleId="13">
    <w:name w:val="Текст1"/>
    <w:basedOn w:val="Normal"/>
    <w:qFormat/>
    <w:pPr/>
    <w:rPr>
      <w:rFonts w:ascii="Courier New" w:hAnsi="Courier New" w:cs="Courier New"/>
      <w:lang w:val="ru-RU"/>
    </w:rPr>
  </w:style>
  <w:style w:type="paragraph" w:styleId="Style16">
    <w:name w:val="Текст выноски"/>
    <w:basedOn w:val="Normal"/>
    <w:qFormat/>
    <w:pPr/>
    <w:rPr>
      <w:rFonts w:ascii="Tahoma" w:hAnsi="Tahoma" w:cs="Tahoma"/>
      <w:sz w:val="16"/>
      <w:szCs w:val="16"/>
    </w:rPr>
  </w:style>
  <w:style w:type="paragraph" w:styleId="Style17">
    <w:name w:val="Содержимое таблицы"/>
    <w:basedOn w:val="Normal"/>
    <w:qFormat/>
    <w:pPr>
      <w:suppressLineNumbers/>
    </w:pPr>
    <w:rPr/>
  </w:style>
  <w:style w:type="paragraph" w:styleId="Style18">
    <w:name w:val="Заголовок таблицы"/>
    <w:basedOn w:val="Style17"/>
    <w:qFormat/>
    <w:pPr>
      <w:suppressLineNumbers/>
      <w:jc w:val="center"/>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ConsNormal">
    <w:name w:val="ConsNormal"/>
    <w:qFormat/>
    <w:pPr>
      <w:widowControl w:val="false"/>
      <w:suppressAutoHyphens w:val="true"/>
      <w:bidi w:val="0"/>
      <w:ind w:left="0" w:right="0" w:firstLine="720"/>
      <w:jc w:val="left"/>
      <w:textAlignment w:val="auto"/>
    </w:pPr>
    <w:rPr>
      <w:rFonts w:ascii="Arial" w:hAnsi="Arial" w:eastAsia="Tahoma" w:cs="Times New Roman"/>
      <w:color w:val="auto"/>
      <w:sz w:val="20"/>
      <w:szCs w:val="20"/>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118</TotalTime>
  <Application>LibreOffice/5.3.6.1$Linux_X86_64 LibreOffice_project/30$Build-1</Application>
  <Pages>1</Pages>
  <Words>466</Words>
  <Characters>2652</Characters>
  <CharactersWithSpaces>3305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2008-12-23T17:35:00Z</dcterms:created>
  <dc:creator>Andrey</dc:creator>
  <dc:description/>
  <dc:language>en-US</dc:language>
  <cp:lastModifiedBy/>
  <cp:lastPrinted>2012-01-11T08:44:00Z</cp:lastPrinted>
  <dcterms:modified xsi:type="dcterms:W3CDTF">2018-06-15T15:10:46Z</dcterms:modified>
  <cp:revision>31</cp:revision>
  <dc:subject/>
  <dc:title>Телефон / Phone: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1</vt:bool>
  </property>
</Properties>
</file>